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1E6B61" w:rsidRDefault="00A623A1" w:rsidP="00A623A1">
      <w:pPr>
        <w:tabs>
          <w:tab w:val="left" w:pos="6285"/>
        </w:tabs>
        <w:rPr>
          <w:rFonts w:ascii="Arial" w:hAnsi="Arial" w:cs="Arial"/>
          <w:b/>
          <w:sz w:val="22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739F1">
        <w:rPr>
          <w:rFonts w:ascii="Arial" w:hAnsi="Arial" w:cs="Arial"/>
          <w:b/>
          <w:sz w:val="28"/>
          <w:szCs w:val="28"/>
          <w:lang w:val="es-CO"/>
        </w:rPr>
        <w:t xml:space="preserve">185 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de </w:t>
      </w:r>
      <w:r w:rsidR="007A0D38">
        <w:rPr>
          <w:rFonts w:ascii="Arial" w:hAnsi="Arial" w:cs="Arial"/>
          <w:b/>
          <w:sz w:val="28"/>
          <w:szCs w:val="28"/>
          <w:lang w:val="es-CO"/>
        </w:rPr>
        <w:t>diciembre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7A0D38">
        <w:rPr>
          <w:rFonts w:ascii="Arial" w:hAnsi="Arial" w:cs="Arial"/>
          <w:b/>
          <w:sz w:val="28"/>
          <w:szCs w:val="28"/>
          <w:lang w:val="es-CO"/>
        </w:rPr>
        <w:t>1</w:t>
      </w:r>
      <w:r w:rsidR="001739F1">
        <w:rPr>
          <w:rFonts w:ascii="Arial" w:hAnsi="Arial" w:cs="Arial"/>
          <w:b/>
          <w:sz w:val="28"/>
          <w:szCs w:val="28"/>
          <w:lang w:val="es-CO"/>
        </w:rPr>
        <w:t>4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A623A1" w:rsidRPr="003A4E77" w:rsidRDefault="003A4E77" w:rsidP="00A623A1">
      <w:pPr>
        <w:pStyle w:val="Prrafodelista"/>
        <w:numPr>
          <w:ilvl w:val="0"/>
          <w:numId w:val="8"/>
        </w:numPr>
        <w:ind w:left="426" w:right="170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aprobación del Orden del D</w:t>
      </w:r>
      <w:r w:rsidR="00A623A1" w:rsidRPr="003A4E77">
        <w:rPr>
          <w:rFonts w:ascii="Arial" w:hAnsi="Arial" w:cs="Arial"/>
          <w:b/>
          <w:color w:val="000000"/>
          <w:sz w:val="22"/>
          <w:szCs w:val="22"/>
          <w:lang w:val="es-ES_tradnl"/>
        </w:rPr>
        <w:t>ía.</w:t>
      </w:r>
    </w:p>
    <w:p w:rsidR="00D50995" w:rsidRPr="001E6B61" w:rsidRDefault="00D50995" w:rsidP="00746441">
      <w:pPr>
        <w:rPr>
          <w:rFonts w:ascii="Arial" w:hAnsi="Arial" w:cs="Arial"/>
          <w:b/>
          <w:color w:val="000000"/>
          <w:sz w:val="16"/>
          <w:szCs w:val="22"/>
        </w:rPr>
      </w:pPr>
    </w:p>
    <w:p w:rsidR="00C90B14" w:rsidRPr="003A4E77" w:rsidRDefault="00B6784A" w:rsidP="00C90B14">
      <w:pPr>
        <w:pStyle w:val="Prrafodelista"/>
        <w:numPr>
          <w:ilvl w:val="0"/>
          <w:numId w:val="8"/>
        </w:numPr>
        <w:ind w:left="426"/>
        <w:rPr>
          <w:rFonts w:ascii="Arial" w:hAnsi="Arial" w:cs="Arial"/>
          <w:b/>
          <w:sz w:val="22"/>
          <w:szCs w:val="22"/>
        </w:rPr>
      </w:pPr>
      <w:r w:rsidRPr="003A4E77">
        <w:rPr>
          <w:rFonts w:ascii="Arial" w:hAnsi="Arial" w:cs="Arial"/>
          <w:b/>
          <w:sz w:val="22"/>
          <w:szCs w:val="22"/>
        </w:rPr>
        <w:t xml:space="preserve">Aprobación de </w:t>
      </w:r>
      <w:r w:rsidR="008C34A4" w:rsidRPr="003A4E77">
        <w:rPr>
          <w:rFonts w:ascii="Arial" w:hAnsi="Arial" w:cs="Arial"/>
          <w:b/>
          <w:sz w:val="22"/>
          <w:szCs w:val="22"/>
        </w:rPr>
        <w:t xml:space="preserve">Informes de </w:t>
      </w:r>
      <w:r w:rsidR="00611C96" w:rsidRPr="003A4E77">
        <w:rPr>
          <w:rFonts w:ascii="Arial" w:hAnsi="Arial" w:cs="Arial"/>
          <w:b/>
          <w:sz w:val="22"/>
          <w:szCs w:val="22"/>
        </w:rPr>
        <w:t>Conciliación</w:t>
      </w:r>
    </w:p>
    <w:p w:rsidR="008C34A4" w:rsidRPr="003A4E77" w:rsidRDefault="008C34A4" w:rsidP="003A4E77">
      <w:pPr>
        <w:rPr>
          <w:rFonts w:ascii="Arial" w:hAnsi="Arial" w:cs="Arial"/>
          <w:b/>
          <w:sz w:val="16"/>
          <w:szCs w:val="16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9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Ley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195 de 2012 Cámara - 248 de 2012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CO"/>
        </w:rPr>
        <w:t xml:space="preserve">Por medio de la cual se declara patrimonio cultural de la nación el festival folclórico del municipio de </w:t>
      </w:r>
      <w:proofErr w:type="spellStart"/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CO"/>
        </w:rPr>
        <w:t>Natagaima</w:t>
      </w:r>
      <w:proofErr w:type="spellEnd"/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CO"/>
        </w:rPr>
        <w:t xml:space="preserve">, departamento del Tolima, reinado departamental, y se le da el nombre de Festival Folclórico Regional del San Juan </w:t>
      </w:r>
      <w:proofErr w:type="spellStart"/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CO"/>
        </w:rPr>
        <w:t>Cantalicio</w:t>
      </w:r>
      <w:proofErr w:type="spellEnd"/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CO"/>
        </w:rPr>
        <w:t xml:space="preserve"> Rojas González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16"/>
          <w:szCs w:val="16"/>
        </w:rPr>
        <w:t>Publicado en la Gaceta del Congreso:</w:t>
      </w:r>
      <w:r w:rsidRPr="003A4E77">
        <w:rPr>
          <w:rFonts w:ascii="Arial" w:hAnsi="Arial" w:cs="Arial"/>
          <w:sz w:val="16"/>
          <w:szCs w:val="16"/>
        </w:rPr>
        <w:t xml:space="preserve"> Gaceta No. </w:t>
      </w:r>
      <w:hyperlink r:id="rId10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942 de 2012</w:t>
        </w:r>
      </w:hyperlink>
      <w:r w:rsidRPr="003A4E77">
        <w:rPr>
          <w:rFonts w:ascii="Arial" w:hAnsi="Arial" w:cs="Arial"/>
          <w:sz w:val="16"/>
          <w:szCs w:val="16"/>
        </w:rPr>
        <w:t xml:space="preserve">. </w:t>
      </w:r>
    </w:p>
    <w:p w:rsidR="00B6784A" w:rsidRPr="003A4E77" w:rsidRDefault="00B6784A" w:rsidP="00B6784A">
      <w:pPr>
        <w:spacing w:before="45" w:after="28"/>
        <w:contextualSpacing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11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Ley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130 de 2011 Cámara - 247 de 2012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ES_tradnl"/>
        </w:rPr>
        <w:t>Por m</w:t>
      </w:r>
      <w:bookmarkStart w:id="0" w:name="_GoBack"/>
      <w:bookmarkEnd w:id="0"/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ES_tradnl"/>
        </w:rPr>
        <w:t>edio de la cual se rinde honores a la desaparecida ciudad de Armero (Tolima), y a sus víctimas, y se dictan otras disposiciones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16"/>
          <w:szCs w:val="16"/>
        </w:rPr>
        <w:t>Publicado en la Gaceta del Congreso:</w:t>
      </w:r>
      <w:r w:rsidRPr="003A4E77">
        <w:rPr>
          <w:rFonts w:ascii="Arial" w:hAnsi="Arial" w:cs="Arial"/>
          <w:sz w:val="16"/>
          <w:szCs w:val="16"/>
        </w:rPr>
        <w:t xml:space="preserve"> Gaceta No. </w:t>
      </w:r>
      <w:hyperlink r:id="rId12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942 de 2012</w:t>
        </w:r>
      </w:hyperlink>
      <w:r w:rsidRPr="003A4E77">
        <w:rPr>
          <w:rFonts w:ascii="Arial" w:hAnsi="Arial" w:cs="Arial"/>
          <w:sz w:val="16"/>
          <w:szCs w:val="16"/>
        </w:rPr>
        <w:t>.</w:t>
      </w:r>
    </w:p>
    <w:p w:rsidR="00B6784A" w:rsidRPr="003A4E77" w:rsidRDefault="00B6784A" w:rsidP="00B6784A">
      <w:pPr>
        <w:spacing w:before="45" w:after="28"/>
        <w:contextualSpacing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13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Ley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253 de 2012 Cámara - 238 de 2012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CO"/>
        </w:rPr>
        <w:t>Por la cual se rinde honores al doctor Alfonso Palacio Rudas, como ilustre ciudadano tolimense destacado a nivel nacional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B6784A" w:rsidRPr="003A4E77" w:rsidRDefault="00B6784A" w:rsidP="00B6784A">
      <w:pPr>
        <w:pStyle w:val="Prrafodelista"/>
        <w:rPr>
          <w:rFonts w:ascii="Arial" w:hAnsi="Arial" w:cs="Arial"/>
          <w:sz w:val="16"/>
          <w:szCs w:val="16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16"/>
          <w:szCs w:val="16"/>
        </w:rPr>
        <w:t>Publicado en la Gaceta del Congreso:</w:t>
      </w:r>
      <w:r w:rsidRPr="003A4E77">
        <w:rPr>
          <w:rFonts w:ascii="Arial" w:hAnsi="Arial" w:cs="Arial"/>
          <w:sz w:val="16"/>
          <w:szCs w:val="16"/>
        </w:rPr>
        <w:t xml:space="preserve"> Gaceta No. </w:t>
      </w:r>
      <w:hyperlink r:id="rId14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942 de 2012</w:t>
        </w:r>
      </w:hyperlink>
      <w:r w:rsidRPr="003A4E77">
        <w:rPr>
          <w:rFonts w:ascii="Arial" w:hAnsi="Arial" w:cs="Arial"/>
          <w:sz w:val="16"/>
          <w:szCs w:val="16"/>
        </w:rPr>
        <w:t xml:space="preserve">. 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sz w:val="16"/>
          <w:szCs w:val="16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15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Ley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044 de 2011 Cámara - 249 de 2012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iCs/>
          <w:sz w:val="22"/>
          <w:szCs w:val="22"/>
        </w:rPr>
        <w:t>Por</w:t>
      </w:r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ES_tradnl"/>
        </w:rPr>
        <w:t xml:space="preserve"> medio de la cual se expide la ley de Salud Mental y se dictan otras disposiciones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  <w:r w:rsidR="00B6784A" w:rsidRPr="003A4E77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sz w:val="16"/>
          <w:szCs w:val="16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16"/>
          <w:szCs w:val="16"/>
        </w:rPr>
        <w:t>Publicado en la Gaceta del Congreso:</w:t>
      </w:r>
      <w:r w:rsidRPr="003A4E77">
        <w:rPr>
          <w:rFonts w:ascii="Arial" w:hAnsi="Arial" w:cs="Arial"/>
          <w:sz w:val="16"/>
          <w:szCs w:val="16"/>
        </w:rPr>
        <w:t xml:space="preserve"> Gaceta No. </w:t>
      </w:r>
      <w:hyperlink r:id="rId16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936 de 2012</w:t>
        </w:r>
      </w:hyperlink>
      <w:r w:rsidRPr="003A4E77">
        <w:rPr>
          <w:rFonts w:ascii="Arial" w:hAnsi="Arial" w:cs="Arial"/>
          <w:sz w:val="16"/>
          <w:szCs w:val="16"/>
        </w:rPr>
        <w:t>.</w:t>
      </w:r>
    </w:p>
    <w:p w:rsidR="00B6784A" w:rsidRPr="003A4E77" w:rsidRDefault="00B6784A" w:rsidP="00B6784A">
      <w:pPr>
        <w:ind w:left="-142" w:hanging="142"/>
        <w:jc w:val="center"/>
        <w:rPr>
          <w:rFonts w:ascii="Arial" w:eastAsia="Calibri" w:hAnsi="Arial" w:cs="Arial"/>
          <w:b/>
          <w:sz w:val="16"/>
          <w:szCs w:val="16"/>
          <w:lang w:val="es-ES_tradnl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17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Acto Legislativo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192 de 2012 Cámara - 016 de 2012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iCs/>
          <w:sz w:val="22"/>
          <w:szCs w:val="22"/>
        </w:rPr>
        <w:t>Por el cual se reforman los artículos 116, 152 y 221 de la Constitución Política de Colombia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/>
          <w:sz w:val="22"/>
          <w:szCs w:val="22"/>
        </w:rPr>
        <w:t xml:space="preserve"> (Segunda Vuelta)</w:t>
      </w:r>
      <w:r w:rsidR="00B6784A" w:rsidRPr="003A4E77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>.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16"/>
          <w:szCs w:val="16"/>
        </w:rPr>
        <w:t>Publicado en la Gaceta del Congreso:</w:t>
      </w:r>
      <w:r w:rsidRPr="003A4E77">
        <w:rPr>
          <w:rFonts w:ascii="Arial" w:hAnsi="Arial" w:cs="Arial"/>
          <w:sz w:val="16"/>
          <w:szCs w:val="16"/>
        </w:rPr>
        <w:t xml:space="preserve"> Gaceta No. </w:t>
      </w:r>
      <w:hyperlink r:id="rId18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936 de 2012</w:t>
        </w:r>
      </w:hyperlink>
      <w:r w:rsidRPr="003A4E77">
        <w:rPr>
          <w:rFonts w:ascii="Arial" w:hAnsi="Arial" w:cs="Arial"/>
          <w:sz w:val="16"/>
          <w:szCs w:val="16"/>
        </w:rPr>
        <w:t>.</w:t>
      </w:r>
    </w:p>
    <w:p w:rsidR="00B6784A" w:rsidRPr="003A4E77" w:rsidRDefault="00B6784A" w:rsidP="00B6784A">
      <w:pPr>
        <w:spacing w:before="45" w:after="28"/>
        <w:ind w:left="-142" w:hanging="142"/>
        <w:contextualSpacing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19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Ley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248 de 2012 Cámara - 138 de 2011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sz w:val="22"/>
          <w:szCs w:val="22"/>
        </w:rPr>
        <w:t>Por la cual se dictan normas generales a las cuales debe sujetarse el gobierno para modificar los aranceles, tarifas y demás disposiciones concernientes al Régimen de Aduanas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16"/>
          <w:szCs w:val="16"/>
        </w:rPr>
        <w:t>Publicado en la Gaceta del Congreso:</w:t>
      </w:r>
      <w:r w:rsidRPr="003A4E77">
        <w:rPr>
          <w:rFonts w:ascii="Arial" w:hAnsi="Arial" w:cs="Arial"/>
          <w:sz w:val="16"/>
          <w:szCs w:val="16"/>
        </w:rPr>
        <w:t xml:space="preserve"> Gaceta No. </w:t>
      </w:r>
      <w:hyperlink r:id="rId20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941 de 2012</w:t>
        </w:r>
      </w:hyperlink>
      <w:r w:rsidRPr="003A4E77">
        <w:rPr>
          <w:rFonts w:ascii="Arial" w:hAnsi="Arial" w:cs="Arial"/>
          <w:sz w:val="16"/>
          <w:szCs w:val="16"/>
        </w:rPr>
        <w:t xml:space="preserve">. </w:t>
      </w:r>
    </w:p>
    <w:p w:rsidR="00B6784A" w:rsidRPr="003A4E77" w:rsidRDefault="00B6784A" w:rsidP="00B6784A">
      <w:pPr>
        <w:spacing w:before="45" w:after="28"/>
        <w:ind w:left="-142" w:hanging="142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21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Ley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133 de 2012 Cámara - 141 de 2012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sz w:val="22"/>
          <w:szCs w:val="22"/>
        </w:rPr>
        <w:t>Por la cual se deroga la ley orgánica 128 de 1994 y se expide el Régimen para las Áreas Metropolitanas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sz w:val="16"/>
          <w:szCs w:val="16"/>
        </w:rPr>
        <w:t xml:space="preserve">Publicado en la Gaceta del Congreso: Gaceta No. </w:t>
      </w:r>
      <w:hyperlink r:id="rId22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936 de 2012</w:t>
        </w:r>
      </w:hyperlink>
      <w:r w:rsidRPr="003A4E77">
        <w:rPr>
          <w:rFonts w:ascii="Arial" w:hAnsi="Arial" w:cs="Arial"/>
          <w:sz w:val="16"/>
          <w:szCs w:val="16"/>
        </w:rPr>
        <w:t>.</w:t>
      </w:r>
    </w:p>
    <w:p w:rsidR="00B6784A" w:rsidRPr="003A4E77" w:rsidRDefault="00B6784A" w:rsidP="00B6784A">
      <w:pPr>
        <w:spacing w:before="45" w:after="28"/>
        <w:ind w:left="-142"/>
        <w:contextualSpacing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23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Ley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129 de 2012 Cámara - 131 de 2012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iCs/>
          <w:sz w:val="22"/>
          <w:szCs w:val="22"/>
        </w:rPr>
        <w:t>Por la cual se crea el fondo especial para la administración de bienes de la Fiscalía General de la Nación, se establecen los sistemas de administración de bienes, y se dictan disposiciones generales sobre su funcionamiento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  <w:r w:rsidR="00B6784A" w:rsidRPr="003A4E77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ES_tradnl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sz w:val="16"/>
          <w:szCs w:val="16"/>
        </w:rPr>
      </w:pPr>
      <w:r w:rsidRPr="003A4E77">
        <w:rPr>
          <w:rFonts w:ascii="Arial" w:hAnsi="Arial" w:cs="Arial"/>
          <w:b/>
          <w:sz w:val="16"/>
          <w:szCs w:val="16"/>
        </w:rPr>
        <w:t>Publicado en la Gaceta del Congreso:</w:t>
      </w:r>
      <w:r w:rsidRPr="003A4E77">
        <w:rPr>
          <w:rFonts w:ascii="Arial" w:hAnsi="Arial" w:cs="Arial"/>
          <w:sz w:val="16"/>
          <w:szCs w:val="16"/>
        </w:rPr>
        <w:t xml:space="preserve"> Gaceta No. </w:t>
      </w:r>
      <w:hyperlink r:id="rId24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941 de 2012</w:t>
        </w:r>
      </w:hyperlink>
      <w:r w:rsidRPr="003A4E77">
        <w:rPr>
          <w:rFonts w:ascii="Arial" w:hAnsi="Arial" w:cs="Arial"/>
          <w:sz w:val="16"/>
          <w:szCs w:val="16"/>
        </w:rPr>
        <w:t>.</w:t>
      </w:r>
    </w:p>
    <w:p w:rsidR="003A4E77" w:rsidRPr="003A4E77" w:rsidRDefault="003A4E77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25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Ley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259 de 2012 Cámara - 139 de 2011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iCs/>
          <w:sz w:val="22"/>
          <w:szCs w:val="22"/>
        </w:rPr>
        <w:t>Por</w:t>
      </w:r>
      <w:r w:rsidR="00B6784A" w:rsidRPr="003A4E77">
        <w:rPr>
          <w:rFonts w:ascii="Arial" w:hAnsi="Arial" w:cs="Arial"/>
          <w:bCs/>
          <w:i/>
          <w:iCs/>
          <w:sz w:val="22"/>
          <w:szCs w:val="22"/>
          <w:lang w:val="es-ES_tradnl"/>
        </w:rPr>
        <w:t xml:space="preserve"> la cual se regulan algunos aspectos sobre las inspecciones del trabajo y los acuerdos de formalización laboral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16"/>
          <w:szCs w:val="16"/>
        </w:rPr>
        <w:t>Publicado en la Gaceta del Congreso:</w:t>
      </w:r>
      <w:r w:rsidRPr="003A4E77">
        <w:rPr>
          <w:rFonts w:ascii="Arial" w:hAnsi="Arial" w:cs="Arial"/>
          <w:sz w:val="16"/>
          <w:szCs w:val="16"/>
        </w:rPr>
        <w:t xml:space="preserve"> Gaceta No. </w:t>
      </w:r>
      <w:hyperlink r:id="rId26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941 de 2012</w:t>
        </w:r>
      </w:hyperlink>
      <w:r w:rsidRPr="003A4E77">
        <w:rPr>
          <w:rFonts w:ascii="Arial" w:hAnsi="Arial" w:cs="Arial"/>
          <w:sz w:val="16"/>
          <w:szCs w:val="16"/>
        </w:rPr>
        <w:t xml:space="preserve">. </w:t>
      </w:r>
    </w:p>
    <w:p w:rsidR="00B6784A" w:rsidRPr="003A4E77" w:rsidRDefault="00B6784A" w:rsidP="00B6784A">
      <w:pPr>
        <w:spacing w:before="45" w:after="28"/>
        <w:contextualSpacing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3A4E77" w:rsidP="00B6784A">
      <w:pPr>
        <w:pStyle w:val="Prrafodelista"/>
        <w:numPr>
          <w:ilvl w:val="0"/>
          <w:numId w:val="37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3A4E77">
        <w:rPr>
          <w:rFonts w:ascii="Arial" w:hAnsi="Arial" w:cs="Arial"/>
          <w:b/>
          <w:sz w:val="22"/>
          <w:szCs w:val="22"/>
          <w:lang w:val="es-CO"/>
        </w:rPr>
        <w:t xml:space="preserve">Se discutió y aprobó, el informe de conciliación al </w:t>
      </w:r>
      <w:hyperlink r:id="rId27" w:history="1"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ES_tradnl"/>
          </w:rPr>
          <w:t xml:space="preserve">Proyecto de </w:t>
        </w:r>
        <w:r w:rsidR="00B6784A" w:rsidRPr="003A4E77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</w:rPr>
          <w:t xml:space="preserve">Ley </w:t>
        </w:r>
        <w:r w:rsidR="00B6784A" w:rsidRPr="003A4E77">
          <w:rPr>
            <w:rFonts w:ascii="Arial" w:hAnsi="Arial" w:cs="Arial"/>
            <w:b/>
            <w:iCs/>
            <w:color w:val="0000FF"/>
            <w:sz w:val="22"/>
            <w:szCs w:val="22"/>
            <w:u w:val="single"/>
          </w:rPr>
          <w:t xml:space="preserve">No. </w:t>
        </w:r>
        <w:r w:rsidR="00B6784A" w:rsidRPr="003A4E77">
          <w:rPr>
            <w:rFonts w:ascii="Arial" w:hAnsi="Arial" w:cs="Arial"/>
            <w:b/>
            <w:color w:val="0000FF"/>
            <w:sz w:val="22"/>
            <w:szCs w:val="22"/>
            <w:u w:val="single"/>
          </w:rPr>
          <w:t>201 de 2012 Cámara - 159 de 2012 Senado</w:t>
        </w:r>
      </w:hyperlink>
      <w:r w:rsidR="00B6784A" w:rsidRPr="003A4E77">
        <w:rPr>
          <w:rFonts w:ascii="Arial" w:hAnsi="Arial" w:cs="Arial"/>
          <w:b/>
          <w:sz w:val="22"/>
          <w:szCs w:val="22"/>
        </w:rPr>
        <w:t xml:space="preserve"> </w:t>
      </w:r>
      <w:r w:rsidR="00B6784A" w:rsidRPr="003A4E77">
        <w:rPr>
          <w:rFonts w:ascii="Arial" w:hAnsi="Arial" w:cs="Arial"/>
          <w:i/>
          <w:sz w:val="22"/>
          <w:szCs w:val="22"/>
        </w:rPr>
        <w:t>“</w:t>
      </w:r>
      <w:r w:rsidR="00B6784A" w:rsidRPr="003A4E77">
        <w:rPr>
          <w:rFonts w:ascii="Arial" w:hAnsi="Arial" w:cs="Arial"/>
          <w:bCs/>
          <w:i/>
          <w:iCs/>
          <w:sz w:val="22"/>
          <w:szCs w:val="22"/>
        </w:rPr>
        <w:t>Por la cual se crea el sistema de convivencia escolar y formación para el ejercicio de los derechos humanos, la educación para la sexualidad y la prevención y mitigación de la violencia escolar</w:t>
      </w:r>
      <w:r w:rsidR="00B6784A" w:rsidRPr="003A4E77">
        <w:rPr>
          <w:rFonts w:ascii="Arial" w:hAnsi="Arial" w:cs="Arial"/>
          <w:i/>
          <w:sz w:val="22"/>
          <w:szCs w:val="22"/>
        </w:rPr>
        <w:t>”</w:t>
      </w:r>
      <w:r w:rsidR="00B6784A" w:rsidRPr="003A4E77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6784A" w:rsidRPr="003A4E77" w:rsidRDefault="00B6784A" w:rsidP="00B6784A">
      <w:pPr>
        <w:pStyle w:val="Prrafodelista"/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3A4E77">
        <w:rPr>
          <w:rFonts w:ascii="Arial" w:hAnsi="Arial" w:cs="Arial"/>
          <w:b/>
          <w:sz w:val="16"/>
          <w:szCs w:val="16"/>
        </w:rPr>
        <w:t>Publicado en la Gaceta del Congreso:</w:t>
      </w:r>
      <w:r w:rsidRPr="003A4E77">
        <w:rPr>
          <w:rFonts w:ascii="Arial" w:hAnsi="Arial" w:cs="Arial"/>
          <w:sz w:val="16"/>
          <w:szCs w:val="16"/>
        </w:rPr>
        <w:t xml:space="preserve"> Gaceta No. </w:t>
      </w:r>
      <w:hyperlink r:id="rId28" w:history="1">
        <w:r w:rsidRPr="003A4E77">
          <w:rPr>
            <w:rFonts w:ascii="Arial" w:hAnsi="Arial" w:cs="Arial"/>
            <w:color w:val="0000FF"/>
            <w:sz w:val="16"/>
            <w:szCs w:val="16"/>
            <w:u w:val="single"/>
          </w:rPr>
          <w:t>941 de 2012</w:t>
        </w:r>
      </w:hyperlink>
      <w:r w:rsidRPr="003A4E77">
        <w:rPr>
          <w:rFonts w:ascii="Arial" w:hAnsi="Arial" w:cs="Arial"/>
          <w:sz w:val="16"/>
          <w:szCs w:val="16"/>
        </w:rPr>
        <w:t xml:space="preserve">. </w:t>
      </w:r>
    </w:p>
    <w:p w:rsidR="00160C8F" w:rsidRPr="003A4E77" w:rsidRDefault="00160C8F" w:rsidP="0032189A">
      <w:pPr>
        <w:pStyle w:val="Prrafodelista"/>
        <w:ind w:left="709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ES_tradnl"/>
        </w:rPr>
      </w:pPr>
    </w:p>
    <w:p w:rsidR="005A01C7" w:rsidRPr="00280D0E" w:rsidRDefault="00A623A1" w:rsidP="006C56B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****************************************************************************************************************************************</w:t>
      </w:r>
    </w:p>
    <w:sectPr w:rsidR="005A01C7" w:rsidRPr="00280D0E">
      <w:headerReference w:type="default" r:id="rId29"/>
      <w:foot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1D" w:rsidRDefault="00C03E1D" w:rsidP="005A01C7">
      <w:r>
        <w:separator/>
      </w:r>
    </w:p>
  </w:endnote>
  <w:endnote w:type="continuationSeparator" w:id="0">
    <w:p w:rsidR="00C03E1D" w:rsidRDefault="00C03E1D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C03E1D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1D" w:rsidRDefault="00C03E1D" w:rsidP="005A01C7">
      <w:r>
        <w:separator/>
      </w:r>
    </w:p>
  </w:footnote>
  <w:footnote w:type="continuationSeparator" w:id="0">
    <w:p w:rsidR="00C03E1D" w:rsidRDefault="00C03E1D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7166853"/>
    <w:multiLevelType w:val="hybridMultilevel"/>
    <w:tmpl w:val="F5B85EC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9">
    <w:nsid w:val="4D2C5987"/>
    <w:multiLevelType w:val="hybridMultilevel"/>
    <w:tmpl w:val="BC06A188"/>
    <w:lvl w:ilvl="0" w:tplc="52A61012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F54DA"/>
    <w:multiLevelType w:val="hybridMultilevel"/>
    <w:tmpl w:val="D02EFC0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12"/>
  </w:num>
  <w:num w:numId="5">
    <w:abstractNumId w:val="0"/>
  </w:num>
  <w:num w:numId="6">
    <w:abstractNumId w:val="21"/>
  </w:num>
  <w:num w:numId="7">
    <w:abstractNumId w:val="14"/>
  </w:num>
  <w:num w:numId="8">
    <w:abstractNumId w:val="23"/>
  </w:num>
  <w:num w:numId="9">
    <w:abstractNumId w:val="0"/>
  </w:num>
  <w:num w:numId="10">
    <w:abstractNumId w:val="21"/>
  </w:num>
  <w:num w:numId="11">
    <w:abstractNumId w:val="14"/>
  </w:num>
  <w:num w:numId="12">
    <w:abstractNumId w:val="8"/>
  </w:num>
  <w:num w:numId="13">
    <w:abstractNumId w:val="4"/>
  </w:num>
  <w:num w:numId="14">
    <w:abstractNumId w:val="30"/>
  </w:num>
  <w:num w:numId="15">
    <w:abstractNumId w:val="20"/>
  </w:num>
  <w:num w:numId="16">
    <w:abstractNumId w:val="28"/>
  </w:num>
  <w:num w:numId="17">
    <w:abstractNumId w:val="25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9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8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2"/>
  </w:num>
  <w:num w:numId="34">
    <w:abstractNumId w:val="24"/>
  </w:num>
  <w:num w:numId="35">
    <w:abstractNumId w:val="19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81A65"/>
    <w:rsid w:val="00136C32"/>
    <w:rsid w:val="001458B0"/>
    <w:rsid w:val="00160C8F"/>
    <w:rsid w:val="001665C0"/>
    <w:rsid w:val="001739F1"/>
    <w:rsid w:val="00187FF9"/>
    <w:rsid w:val="001E6B61"/>
    <w:rsid w:val="0020638C"/>
    <w:rsid w:val="002401FD"/>
    <w:rsid w:val="00245227"/>
    <w:rsid w:val="00254575"/>
    <w:rsid w:val="00264D96"/>
    <w:rsid w:val="00280D0E"/>
    <w:rsid w:val="002952F2"/>
    <w:rsid w:val="002A2042"/>
    <w:rsid w:val="002A614D"/>
    <w:rsid w:val="003136B2"/>
    <w:rsid w:val="0032189A"/>
    <w:rsid w:val="0033133B"/>
    <w:rsid w:val="003A4E77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6CC6"/>
    <w:rsid w:val="00611C96"/>
    <w:rsid w:val="00621312"/>
    <w:rsid w:val="006241CF"/>
    <w:rsid w:val="00646979"/>
    <w:rsid w:val="00690F8B"/>
    <w:rsid w:val="00692B39"/>
    <w:rsid w:val="006C56B7"/>
    <w:rsid w:val="006D0CA9"/>
    <w:rsid w:val="006D5B70"/>
    <w:rsid w:val="00701724"/>
    <w:rsid w:val="00742E35"/>
    <w:rsid w:val="00746441"/>
    <w:rsid w:val="007A0D38"/>
    <w:rsid w:val="007C4A0E"/>
    <w:rsid w:val="007F028B"/>
    <w:rsid w:val="00807D07"/>
    <w:rsid w:val="00812106"/>
    <w:rsid w:val="00846316"/>
    <w:rsid w:val="008511EC"/>
    <w:rsid w:val="008C34A4"/>
    <w:rsid w:val="008C4FDC"/>
    <w:rsid w:val="00916D97"/>
    <w:rsid w:val="00990C93"/>
    <w:rsid w:val="009D1ECA"/>
    <w:rsid w:val="00A44BA9"/>
    <w:rsid w:val="00A623A1"/>
    <w:rsid w:val="00A979C2"/>
    <w:rsid w:val="00AC701A"/>
    <w:rsid w:val="00B14419"/>
    <w:rsid w:val="00B44F57"/>
    <w:rsid w:val="00B6784A"/>
    <w:rsid w:val="00C03E1D"/>
    <w:rsid w:val="00C276C3"/>
    <w:rsid w:val="00C27917"/>
    <w:rsid w:val="00C643A9"/>
    <w:rsid w:val="00C71CDB"/>
    <w:rsid w:val="00C756CC"/>
    <w:rsid w:val="00C90B14"/>
    <w:rsid w:val="00C92D19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E110A"/>
    <w:rsid w:val="00F1039B"/>
    <w:rsid w:val="00F80E9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ara.gov.co/portal2011/proceso-y-tramite-legislativo/proyectos-de-ley?option=com_proyectosdeley&amp;view=ver_proyectodeley&amp;idpry=826" TargetMode="External"/><Relationship Id="rId18" Type="http://schemas.openxmlformats.org/officeDocument/2006/relationships/hyperlink" Target="http://servoaspr.imprenta.gov.co:7778/gacetap/gaceta.mostrar_documento?p_tipo=797&amp;p_numero=192&amp;p_consec=35068" TargetMode="External"/><Relationship Id="rId26" Type="http://schemas.openxmlformats.org/officeDocument/2006/relationships/hyperlink" Target="http://servoaspr.imprenta.gov.co:7778/gacetap/gaceta.mostrar_documento?p_tipo=123&amp;p_numero=259&amp;p_consec=3507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mara.gov.co/portal2011/proceso-y-tramite-legislativo/proyectos-de-ley?option=com_proyectosdeley&amp;view=ver_proyectodeley&amp;idpry=97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ervoaspr.imprenta.gov.co:7778/gacetap/gaceta.mostrar_documento?p_tipo=123&amp;p_numero=130&amp;p_consec=35074" TargetMode="External"/><Relationship Id="rId17" Type="http://schemas.openxmlformats.org/officeDocument/2006/relationships/hyperlink" Target="http://www.camara.gov.co/portal2011/proceso-y-tramite-legislativo/proyectos-de-ley?option=com_proyectosdeley&amp;view=ver_proyectodeley&amp;idpry=760" TargetMode="External"/><Relationship Id="rId25" Type="http://schemas.openxmlformats.org/officeDocument/2006/relationships/hyperlink" Target="http://www.camara.gov.co/portal2011/proceso-y-tramite-legislativo/proyectos-de-ley?option=com_proyectosdeley&amp;view=ver_proyectodeley&amp;idpry=8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voaspr.imprenta.gov.co:7778/gacetap/gaceta.mostrar_documento?p_tipo=123&amp;p_numero=044&amp;p_consec=35066" TargetMode="External"/><Relationship Id="rId20" Type="http://schemas.openxmlformats.org/officeDocument/2006/relationships/hyperlink" Target="http://servoaspr.imprenta.gov.co:7778/gacetap/gaceta.mostrar_documento?p_tipo=123&amp;p_numero=248&amp;p_consec=3506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651" TargetMode="External"/><Relationship Id="rId24" Type="http://schemas.openxmlformats.org/officeDocument/2006/relationships/hyperlink" Target="http://servoaspr.imprenta.gov.co:7778/gacetap/gaceta.mostrar_documento?p_tipo=123&amp;p_numero=129&amp;p_consec=3507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amara.gov.co/portal2011/proceso-y-tramite-legislativo/proyectos-de-ley?option=com_proyectosdeley&amp;view=ver_proyectodeley&amp;idpry=568" TargetMode="External"/><Relationship Id="rId23" Type="http://schemas.openxmlformats.org/officeDocument/2006/relationships/hyperlink" Target="http://www.camara.gov.co/portal2011/proceso-y-tramite-legislativo/proyectos-de-ley?option=com_proyectosdeley&amp;view=ver_proyectodeley&amp;idpry=968" TargetMode="External"/><Relationship Id="rId28" Type="http://schemas.openxmlformats.org/officeDocument/2006/relationships/hyperlink" Target="http://servoaspr.imprenta.gov.co:7778/gacetap/gaceta.mostrar_documento?p_tipo=123&amp;p_numero=201&amp;p_consec=35072" TargetMode="External"/><Relationship Id="rId10" Type="http://schemas.openxmlformats.org/officeDocument/2006/relationships/hyperlink" Target="http://servoaspr.imprenta.gov.co:7778/gacetap/gaceta.mostrar_documento?p_tipo=123&amp;p_numero=195&amp;p_consec=35075" TargetMode="External"/><Relationship Id="rId19" Type="http://schemas.openxmlformats.org/officeDocument/2006/relationships/hyperlink" Target="http://www.camara.gov.co/portal2011/proceso-y-tramite-legislativo/proyectos-de-ley?option=com_proyectosdeley&amp;view=ver_proyectodeley&amp;idpry=82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766" TargetMode="External"/><Relationship Id="rId14" Type="http://schemas.openxmlformats.org/officeDocument/2006/relationships/hyperlink" Target="http://servoaspr.imprenta.gov.co:7778/gacetap/gaceta.mostrar_documento?p_tipo=123&amp;p_numero=253&amp;p_consec=35076" TargetMode="External"/><Relationship Id="rId22" Type="http://schemas.openxmlformats.org/officeDocument/2006/relationships/hyperlink" Target="http://servoaspr.imprenta.gov.co:7778/gacetap/gaceta.mostrar_documento?p_tipo=123&amp;p_numero=133&amp;p_consec=35067" TargetMode="External"/><Relationship Id="rId27" Type="http://schemas.openxmlformats.org/officeDocument/2006/relationships/hyperlink" Target="http://www.camara.gov.co/portal2011/proceso-y-tramite-legislativo/proyectos-de-ley?option=com_proyectosdeley&amp;view=ver_proyectodeley&amp;idpry=772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3C33-B3BE-4D75-9F5B-7C2737F9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6</cp:revision>
  <cp:lastPrinted>2012-10-25T15:44:00Z</cp:lastPrinted>
  <dcterms:created xsi:type="dcterms:W3CDTF">2012-12-20T17:32:00Z</dcterms:created>
  <dcterms:modified xsi:type="dcterms:W3CDTF">2013-04-04T22:17:00Z</dcterms:modified>
</cp:coreProperties>
</file>